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05EBD" w:rsidRPr="000A4A00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4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B70FED">
        <w:rPr>
          <w:rFonts w:ascii="Arial" w:hAnsi="Arial" w:cs="Arial"/>
          <w:b/>
          <w:bCs/>
          <w:sz w:val="28"/>
          <w:szCs w:val="28"/>
        </w:rPr>
        <w:t>OCS/2/000112</w:t>
      </w:r>
      <w:r w:rsidR="003018F4" w:rsidRPr="003018F4">
        <w:rPr>
          <w:rFonts w:ascii="Arial" w:hAnsi="Arial" w:cs="Arial"/>
          <w:b/>
          <w:bCs/>
          <w:sz w:val="28"/>
          <w:szCs w:val="28"/>
        </w:rPr>
        <w:t>/25</w:t>
      </w: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>, wpisana do Krajowego Rejestru</w:t>
      </w:r>
      <w:bookmarkStart w:id="0" w:name="_GoBack"/>
      <w:bookmarkEnd w:id="0"/>
      <w:r w:rsidR="008A140C" w:rsidRPr="00056BA4">
        <w:rPr>
          <w:rFonts w:ascii="Arial" w:hAnsi="Arial" w:cs="Arial"/>
          <w:sz w:val="22"/>
          <w:szCs w:val="22"/>
        </w:rPr>
        <w:t xml:space="preserve">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ED" w:rsidRDefault="00B70FED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70FED">
        <w:rPr>
          <w:rFonts w:ascii="Arial" w:hAnsi="Arial" w:cs="Arial"/>
          <w:b/>
          <w:sz w:val="22"/>
          <w:szCs w:val="22"/>
        </w:rPr>
        <w:t>PRACE INWESTYCYJNE W ZAKRESIE INSTALACJI LPG (UMOWA RAMOWA)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1" w:name="_Toc25140321"/>
      <w:r w:rsidRPr="00056BA4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1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031464" w:rsidRDefault="00D76139" w:rsidP="000314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031464">
        <w:rPr>
          <w:rFonts w:ascii="Arial" w:hAnsi="Arial" w:cs="Arial"/>
          <w:sz w:val="22"/>
          <w:szCs w:val="22"/>
        </w:rPr>
        <w:t xml:space="preserve">wykonania usługi </w:t>
      </w:r>
      <w:r w:rsidR="00B70FED">
        <w:rPr>
          <w:rFonts w:ascii="Arial" w:hAnsi="Arial" w:cs="Arial"/>
          <w:b/>
          <w:sz w:val="22"/>
          <w:szCs w:val="22"/>
        </w:rPr>
        <w:t>Prac inwestycyjnych</w:t>
      </w:r>
      <w:r w:rsidR="00B70FED" w:rsidRPr="00B70FED">
        <w:rPr>
          <w:rFonts w:ascii="Arial" w:hAnsi="Arial" w:cs="Arial"/>
          <w:b/>
          <w:sz w:val="22"/>
          <w:szCs w:val="22"/>
        </w:rPr>
        <w:t xml:space="preserve"> w zakresie instalacji LPG (umowa ramowa)</w:t>
      </w:r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Pr="002F5FD1" w:rsidRDefault="008805D4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 w:rsidRPr="002F5FD1">
        <w:rPr>
          <w:rFonts w:ascii="Arial" w:hAnsi="Arial" w:cs="Arial"/>
        </w:rPr>
        <w:t>.</w:t>
      </w:r>
    </w:p>
    <w:p w:rsidR="00E52BF2" w:rsidRPr="002F5FD1" w:rsidRDefault="00E52BF2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Akceptacja OWZ</w:t>
      </w:r>
    </w:p>
    <w:p w:rsidR="002F5FD1" w:rsidRPr="0011450B" w:rsidRDefault="00974767" w:rsidP="0011450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Klauzula sankcyjna</w:t>
      </w:r>
    </w:p>
    <w:p w:rsidR="009A2FAA" w:rsidRPr="002F5FD1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Oświadczenie o Beneficjencie rzeczywistym</w:t>
      </w:r>
    </w:p>
    <w:p w:rsidR="009A2FAA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Ankieta BHP (do wypełnienia w przypadku nie posiadania certyfikatu ISO 45001</w:t>
      </w:r>
      <w:r w:rsidR="00435B87" w:rsidRPr="002F5FD1">
        <w:rPr>
          <w:rFonts w:ascii="Arial" w:hAnsi="Arial" w:cs="Arial"/>
        </w:rPr>
        <w:t>)</w:t>
      </w:r>
    </w:p>
    <w:p w:rsidR="009B725C" w:rsidRPr="002F5FD1" w:rsidRDefault="009B725C" w:rsidP="009B72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9B725C">
        <w:rPr>
          <w:rFonts w:ascii="Arial" w:hAnsi="Arial" w:cs="Arial"/>
        </w:rPr>
        <w:t>Oświadczenie sankcyjne oferenta</w:t>
      </w:r>
      <w:r>
        <w:rPr>
          <w:rFonts w:ascii="Arial" w:hAnsi="Arial" w:cs="Arial"/>
        </w:rPr>
        <w:t xml:space="preserve"> </w:t>
      </w:r>
      <w:r w:rsidRPr="002F5FD1">
        <w:rPr>
          <w:rFonts w:ascii="Arial" w:hAnsi="Arial" w:cs="Arial"/>
        </w:rPr>
        <w:t>(proszę wybrać ad</w:t>
      </w:r>
      <w:r>
        <w:rPr>
          <w:rFonts w:ascii="Arial" w:hAnsi="Arial" w:cs="Arial"/>
        </w:rPr>
        <w:t>ekwatnie</w:t>
      </w:r>
      <w:r w:rsidR="007A763B">
        <w:rPr>
          <w:rFonts w:ascii="Arial" w:hAnsi="Arial" w:cs="Arial"/>
        </w:rPr>
        <w:t xml:space="preserve"> – organizacje lub osoby fizyczne</w:t>
      </w:r>
      <w:r>
        <w:rPr>
          <w:rFonts w:ascii="Arial" w:hAnsi="Arial" w:cs="Arial"/>
        </w:rPr>
        <w:t>)</w:t>
      </w:r>
    </w:p>
    <w:p w:rsidR="00DB38EF" w:rsidRPr="002F5FD1" w:rsidRDefault="00DB38EF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 xml:space="preserve">Klauzula informacyjna RODO (proszę wybrać adekwatnie): </w:t>
      </w:r>
    </w:p>
    <w:p w:rsidR="00DB38EF" w:rsidRPr="006C7582" w:rsidRDefault="00DB38EF" w:rsidP="002C214A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>lub osób współpracujących z 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2C214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lastRenderedPageBreak/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2C214A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8C2" w:rsidRDefault="005318C2">
      <w:r>
        <w:separator/>
      </w:r>
    </w:p>
  </w:endnote>
  <w:endnote w:type="continuationSeparator" w:id="0">
    <w:p w:rsidR="005318C2" w:rsidRDefault="0053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2930">
      <w:rPr>
        <w:rStyle w:val="Numerstrony"/>
        <w:noProof/>
      </w:rPr>
      <w:t>5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8C2" w:rsidRDefault="005318C2">
      <w:r>
        <w:separator/>
      </w:r>
    </w:p>
  </w:footnote>
  <w:footnote w:type="continuationSeparator" w:id="0">
    <w:p w:rsidR="005318C2" w:rsidRDefault="00531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522930">
      <w:t>26</w:t>
    </w:r>
    <w:r w:rsidR="00B44449">
      <w:t>.01.2026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F1347"/>
    <w:multiLevelType w:val="hybridMultilevel"/>
    <w:tmpl w:val="75B8B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1450B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329"/>
    <w:rsid w:val="002A2FB6"/>
    <w:rsid w:val="002A70D0"/>
    <w:rsid w:val="002B7AB5"/>
    <w:rsid w:val="002C08D8"/>
    <w:rsid w:val="002C214A"/>
    <w:rsid w:val="002C6A0A"/>
    <w:rsid w:val="002D04CA"/>
    <w:rsid w:val="002D0AB8"/>
    <w:rsid w:val="002D1CEE"/>
    <w:rsid w:val="002D7AEC"/>
    <w:rsid w:val="002E2C6A"/>
    <w:rsid w:val="002E37FE"/>
    <w:rsid w:val="002F4639"/>
    <w:rsid w:val="002F5FD1"/>
    <w:rsid w:val="003018F4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845"/>
    <w:rsid w:val="00522930"/>
    <w:rsid w:val="005318C2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A4BA6"/>
    <w:rsid w:val="007A763B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617"/>
    <w:rsid w:val="008E0BCE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1613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B725C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4AE7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4449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70FED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3E98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50E9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16B4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69439F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1843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12877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2</cp:revision>
  <cp:lastPrinted>2017-07-04T11:46:00Z</cp:lastPrinted>
  <dcterms:created xsi:type="dcterms:W3CDTF">2026-01-26T08:49:00Z</dcterms:created>
  <dcterms:modified xsi:type="dcterms:W3CDTF">2026-01-26T08:49:00Z</dcterms:modified>
</cp:coreProperties>
</file>